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sz w:val="32"/>
          <w:szCs w:val="32"/>
          <w:lang w:val="en-US" w:eastAsia="zh-CN"/>
        </w:rPr>
      </w:pPr>
    </w:p>
    <w:p>
      <w:pPr>
        <w:bidi w:val="0"/>
        <w:rPr>
          <w:rFonts w:hint="eastAsia"/>
          <w:lang w:val="en-US" w:eastAsia="zh-CN"/>
        </w:rPr>
      </w:pPr>
      <w:r>
        <w:rPr>
          <w:rFonts w:hint="eastAsia"/>
        </w:rPr>
        <mc:AlternateContent>
          <mc:Choice Requires="wps">
            <w:drawing>
              <wp:anchor distT="0" distB="0" distL="114300" distR="114300" simplePos="0" relativeHeight="251661312" behindDoc="0" locked="0" layoutInCell="1" allowOverlap="1">
                <wp:simplePos x="0" y="0"/>
                <wp:positionH relativeFrom="column">
                  <wp:posOffset>-443230</wp:posOffset>
                </wp:positionH>
                <wp:positionV relativeFrom="paragraph">
                  <wp:posOffset>-551180</wp:posOffset>
                </wp:positionV>
                <wp:extent cx="6237605" cy="914400"/>
                <wp:effectExtent l="0" t="0" r="10795" b="0"/>
                <wp:wrapNone/>
                <wp:docPr id="6" name="文本框 6"/>
                <wp:cNvGraphicFramePr/>
                <a:graphic xmlns:a="http://schemas.openxmlformats.org/drawingml/2006/main">
                  <a:graphicData uri="http://schemas.microsoft.com/office/word/2010/wordprocessingShape">
                    <wps:wsp>
                      <wps:cNvSpPr txBox="1"/>
                      <wps:spPr>
                        <a:xfrm>
                          <a:off x="2261870" y="791845"/>
                          <a:ext cx="6237605" cy="9144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2"/>
                              <w:bidi w:val="0"/>
                              <w:jc w:val="center"/>
                              <w:rPr>
                                <w:rFonts w:hint="eastAsia" w:asciiTheme="majorAscii" w:hAnsiTheme="minorEastAsia" w:eastAsiaTheme="minorEastAsia" w:cstheme="minorEastAsia"/>
                                <w:b/>
                                <w:bCs w:val="0"/>
                                <w:color w:val="C00000"/>
                                <w:sz w:val="72"/>
                                <w:szCs w:val="72"/>
                                <w:lang w:val="en-US" w:eastAsia="zh-CN"/>
                              </w:rPr>
                            </w:pPr>
                            <w:r>
                              <w:rPr>
                                <w:rFonts w:hint="eastAsia" w:asciiTheme="majorAscii" w:hAnsiTheme="minorEastAsia" w:eastAsiaTheme="minorEastAsia" w:cstheme="minorEastAsia"/>
                                <w:b/>
                                <w:bCs w:val="0"/>
                                <w:color w:val="FF0000"/>
                                <w:sz w:val="72"/>
                                <w:szCs w:val="72"/>
                                <w:lang w:val="en-US" w:eastAsia="zh-CN"/>
                              </w:rPr>
                              <w:t>广东开放大学</w:t>
                            </w:r>
                            <w:r>
                              <w:rPr>
                                <w:rFonts w:hint="eastAsia" w:asciiTheme="majorAscii" w:hAnsiTheme="minorEastAsia" w:eastAsiaTheme="minorEastAsia" w:cstheme="minorEastAsia"/>
                                <w:b/>
                                <w:bCs w:val="0"/>
                                <w:color w:val="FF0000"/>
                                <w:sz w:val="72"/>
                                <w:szCs w:val="72"/>
                              </w:rPr>
                              <w:t>广</w:t>
                            </w:r>
                            <w:r>
                              <w:rPr>
                                <w:rFonts w:hint="eastAsia" w:asciiTheme="majorAscii" w:hAnsiTheme="minorEastAsia" w:eastAsiaTheme="minorEastAsia" w:cstheme="minorEastAsia"/>
                                <w:b/>
                                <w:bCs w:val="0"/>
                                <w:color w:val="FF0000"/>
                                <w:sz w:val="72"/>
                                <w:szCs w:val="72"/>
                                <w:lang w:val="en-US" w:eastAsia="zh-CN"/>
                              </w:rPr>
                              <w:t>奥</w:t>
                            </w:r>
                            <w:r>
                              <w:rPr>
                                <w:rFonts w:hint="eastAsia" w:asciiTheme="majorAscii" w:hAnsiTheme="minorEastAsia" w:cstheme="minorEastAsia"/>
                                <w:b/>
                                <w:bCs w:val="0"/>
                                <w:color w:val="FF0000"/>
                                <w:sz w:val="72"/>
                                <w:szCs w:val="72"/>
                                <w:lang w:val="en-US" w:eastAsia="zh-CN"/>
                              </w:rPr>
                              <w:t>分校</w:t>
                            </w:r>
                          </w:p>
                          <w:p>
                            <w:pPr>
                              <w:jc w:val="center"/>
                              <w:rPr>
                                <w:rFonts w:hint="eastAsia" w:eastAsiaTheme="minorEastAsia"/>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9pt;margin-top:-43.4pt;height:72pt;width:491.15pt;z-index:251661312;mso-width-relative:page;mso-height-relative:page;" fillcolor="#FFFFFF [3201]" filled="t" stroked="f" coordsize="21600,21600" o:gfxdata="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ZThwd&#10;1gAAAAoBAAAPAAAAAAAAAAEAIAAAACIAAABkcnMvZG93bnJldi54bWxQSwECFAAUAAAACACHTuJA&#10;yjdYHVwCAACaBAAADgAAAAAAAAABACAAAAAlAQAAZHJzL2Uyb0RvYy54bWxQSwUGAAAAAAYABgBZ&#10;AQAA8wUAAAAA&#10;">
                <v:fill on="t" focussize="0,0"/>
                <v:stroke on="f" weight="0.5pt"/>
                <v:imagedata o:title=""/>
                <o:lock v:ext="edit" aspectratio="f"/>
                <v:textbox>
                  <w:txbxContent>
                    <w:p>
                      <w:pPr>
                        <w:pStyle w:val="2"/>
                        <w:bidi w:val="0"/>
                        <w:jc w:val="center"/>
                        <w:rPr>
                          <w:rFonts w:hint="eastAsia" w:asciiTheme="majorAscii" w:hAnsiTheme="minorEastAsia" w:eastAsiaTheme="minorEastAsia" w:cstheme="minorEastAsia"/>
                          <w:b/>
                          <w:bCs w:val="0"/>
                          <w:color w:val="C00000"/>
                          <w:sz w:val="72"/>
                          <w:szCs w:val="72"/>
                          <w:lang w:val="en-US" w:eastAsia="zh-CN"/>
                        </w:rPr>
                      </w:pPr>
                      <w:r>
                        <w:rPr>
                          <w:rFonts w:hint="eastAsia" w:asciiTheme="majorAscii" w:hAnsiTheme="minorEastAsia" w:eastAsiaTheme="minorEastAsia" w:cstheme="minorEastAsia"/>
                          <w:b/>
                          <w:bCs w:val="0"/>
                          <w:color w:val="FF0000"/>
                          <w:sz w:val="72"/>
                          <w:szCs w:val="72"/>
                          <w:lang w:val="en-US" w:eastAsia="zh-CN"/>
                        </w:rPr>
                        <w:t>广东开放大学</w:t>
                      </w:r>
                      <w:r>
                        <w:rPr>
                          <w:rFonts w:hint="eastAsia" w:asciiTheme="majorAscii" w:hAnsiTheme="minorEastAsia" w:eastAsiaTheme="minorEastAsia" w:cstheme="minorEastAsia"/>
                          <w:b/>
                          <w:bCs w:val="0"/>
                          <w:color w:val="FF0000"/>
                          <w:sz w:val="72"/>
                          <w:szCs w:val="72"/>
                        </w:rPr>
                        <w:t>广</w:t>
                      </w:r>
                      <w:r>
                        <w:rPr>
                          <w:rFonts w:hint="eastAsia" w:asciiTheme="majorAscii" w:hAnsiTheme="minorEastAsia" w:eastAsiaTheme="minorEastAsia" w:cstheme="minorEastAsia"/>
                          <w:b/>
                          <w:bCs w:val="0"/>
                          <w:color w:val="FF0000"/>
                          <w:sz w:val="72"/>
                          <w:szCs w:val="72"/>
                          <w:lang w:val="en-US" w:eastAsia="zh-CN"/>
                        </w:rPr>
                        <w:t>奥</w:t>
                      </w:r>
                      <w:r>
                        <w:rPr>
                          <w:rFonts w:hint="eastAsia" w:asciiTheme="majorAscii" w:hAnsiTheme="minorEastAsia" w:cstheme="minorEastAsia"/>
                          <w:b/>
                          <w:bCs w:val="0"/>
                          <w:color w:val="FF0000"/>
                          <w:sz w:val="72"/>
                          <w:szCs w:val="72"/>
                          <w:lang w:val="en-US" w:eastAsia="zh-CN"/>
                        </w:rPr>
                        <w:t>分校</w:t>
                      </w:r>
                    </w:p>
                    <w:p>
                      <w:pPr>
                        <w:jc w:val="center"/>
                        <w:rPr>
                          <w:rFonts w:hint="eastAsia" w:eastAsiaTheme="minorEastAsia"/>
                          <w:lang w:val="en-US" w:eastAsia="zh-CN"/>
                        </w:rPr>
                      </w:pP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before="156" w:beforeLines="50" w:line="800" w:lineRule="exact"/>
        <w:jc w:val="right"/>
        <w:textAlignment w:val="auto"/>
        <w:rPr>
          <w:rFonts w:hint="eastAsia" w:ascii="仿宋_GB2312" w:hAnsi="Times New Roman" w:eastAsia="仿宋_GB2312" w:cs="Times New Roman"/>
          <w:sz w:val="21"/>
          <w:szCs w:val="21"/>
          <w:lang w:val="en-US" w:eastAsia="zh-CN"/>
        </w:rPr>
      </w:pPr>
      <w:r>
        <w:rPr>
          <w:rFonts w:hint="eastAsia" w:ascii="仿宋_GB2312" w:hAnsi="Times New Roman" w:eastAsia="仿宋_GB2312" w:cs="Times New Roman"/>
          <w:sz w:val="32"/>
          <w:szCs w:val="32"/>
          <w:lang w:val="en-US" w:eastAsia="zh-CN"/>
        </w:rPr>
        <mc:AlternateContent>
          <mc:Choice Requires="wps">
            <w:drawing>
              <wp:anchor distT="0" distB="0" distL="114300" distR="114300" simplePos="0" relativeHeight="251659264" behindDoc="0" locked="0" layoutInCell="1" allowOverlap="1">
                <wp:simplePos x="0" y="0"/>
                <wp:positionH relativeFrom="column">
                  <wp:posOffset>-459740</wp:posOffset>
                </wp:positionH>
                <wp:positionV relativeFrom="paragraph">
                  <wp:posOffset>181610</wp:posOffset>
                </wp:positionV>
                <wp:extent cx="6120130" cy="635"/>
                <wp:effectExtent l="0" t="28575" r="6350" b="31750"/>
                <wp:wrapNone/>
                <wp:docPr id="4" name="任意多边形 4"/>
                <wp:cNvGraphicFramePr/>
                <a:graphic xmlns:a="http://schemas.openxmlformats.org/drawingml/2006/main">
                  <a:graphicData uri="http://schemas.microsoft.com/office/word/2010/wordprocessingShape">
                    <wps:wsp>
                      <wps:cNvSpPr/>
                      <wps:spPr bwMode="auto">
                        <a:xfrm>
                          <a:off x="723900" y="1795780"/>
                          <a:ext cx="6120130" cy="635"/>
                        </a:xfrm>
                        <a:custGeom>
                          <a:avLst/>
                          <a:gdLst>
                            <a:gd name="T0" fmla="*/ 0 w 9675"/>
                            <a:gd name="T1" fmla="*/ 1 h 30"/>
                            <a:gd name="T2" fmla="*/ 9638 w 9675"/>
                            <a:gd name="T3" fmla="*/ 0 h 30"/>
                            <a:gd name="T4" fmla="*/ 0 60000 65536"/>
                            <a:gd name="T5" fmla="*/ 0 60000 65536"/>
                          </a:gdLst>
                          <a:ahLst/>
                          <a:cxnLst>
                            <a:cxn ang="T4">
                              <a:pos x="T0" y="T1"/>
                            </a:cxn>
                            <a:cxn ang="T5">
                              <a:pos x="T2" y="T3"/>
                            </a:cxn>
                          </a:cxnLst>
                          <a:rect l="0" t="0" r="r" b="b"/>
                          <a:pathLst>
                            <a:path w="9675" h="30">
                              <a:moveTo>
                                <a:pt x="0" y="30"/>
                              </a:moveTo>
                              <a:lnTo>
                                <a:pt x="9675" y="0"/>
                              </a:lnTo>
                            </a:path>
                          </a:pathLst>
                        </a:custGeom>
                        <a:noFill/>
                        <a:ln w="57150" cmpd="thickThin">
                          <a:solidFill>
                            <a:srgbClr val="FF0000"/>
                          </a:solidFill>
                          <a:round/>
                        </a:ln>
                        <a:effectLst/>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36.2pt;margin-top:14.3pt;height:0.05pt;width:481.9pt;z-index:251659264;mso-width-relative:page;mso-height-relative:page;" filled="f" stroked="t" coordsize="9675,30" o:gfxdata="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" path="m0,30l9675,0e">
                <v:path o:connectlocs="0,21;6096724,0" o:connectangles="0,0"/>
                <v:fill on="f" focussize="0,0"/>
                <v:stroke weight="4.5pt" color="#FF0000" linestyle="thickThin" joinstyle="round"/>
                <v:imagedata o:title=""/>
                <o:lock v:ext="edit" aspectratio="f"/>
              </v:shape>
            </w:pict>
          </mc:Fallback>
        </mc:AlternateContent>
      </w:r>
      <w:r>
        <w:rPr>
          <w:rFonts w:hint="eastAsia" w:ascii="仿宋_GB2312" w:hAnsi="Times New Roman" w:eastAsia="仿宋_GB2312" w:cs="Times New Roman"/>
          <w:sz w:val="32"/>
          <w:szCs w:val="32"/>
          <w:lang w:val="en-US" w:eastAsia="zh-CN"/>
        </w:rPr>
        <w:t>广奥分校教务〔2023〕1号</w:t>
      </w:r>
    </w:p>
    <w:p>
      <w:pPr>
        <w:keepNext w:val="0"/>
        <w:keepLines w:val="0"/>
        <w:pageBreakBefore w:val="0"/>
        <w:widowControl/>
        <w:kinsoku/>
        <w:wordWrap/>
        <w:overflowPunct/>
        <w:topLinePunct w:val="0"/>
        <w:autoSpaceDE/>
        <w:autoSpaceDN/>
        <w:bidi w:val="0"/>
        <w:adjustRightInd/>
        <w:snapToGrid/>
        <w:spacing w:line="800" w:lineRule="exact"/>
        <w:jc w:val="center"/>
        <w:textAlignment w:val="auto"/>
        <w:rPr>
          <w:rFonts w:hint="eastAsia" w:ascii="方正小标宋简体" w:hAnsi="微软雅黑" w:eastAsia="方正小标宋简体" w:cs="宋体"/>
          <w:color w:val="000000"/>
          <w:kern w:val="0"/>
          <w:sz w:val="40"/>
          <w:szCs w:val="40"/>
          <w:lang w:val="en-US" w:eastAsia="zh-CN"/>
        </w:rPr>
      </w:pPr>
    </w:p>
    <w:p>
      <w:pPr>
        <w:widowControl/>
        <w:spacing w:line="500" w:lineRule="atLeast"/>
        <w:jc w:val="center"/>
        <w:rPr>
          <w:rFonts w:hint="eastAsia" w:ascii="方正小标宋简体" w:hAnsi="微软雅黑" w:eastAsia="方正小标宋简体" w:cs="宋体"/>
          <w:color w:val="000000"/>
          <w:kern w:val="0"/>
          <w:sz w:val="40"/>
          <w:szCs w:val="40"/>
          <w:lang w:val="en-US" w:eastAsia="zh-CN"/>
        </w:rPr>
      </w:pPr>
      <w:r>
        <w:rPr>
          <w:rFonts w:hint="eastAsia" w:ascii="方正小标宋简体" w:hAnsi="微软雅黑" w:eastAsia="方正小标宋简体" w:cs="宋体"/>
          <w:color w:val="000000"/>
          <w:kern w:val="0"/>
          <w:sz w:val="40"/>
          <w:szCs w:val="40"/>
          <w:lang w:val="en-US" w:eastAsia="zh-CN"/>
        </w:rPr>
        <w:t>关于做好广东开放大学广奥分校2023年春季</w:t>
      </w:r>
    </w:p>
    <w:p>
      <w:pPr>
        <w:widowControl/>
        <w:spacing w:line="500" w:lineRule="atLeast"/>
        <w:jc w:val="center"/>
        <w:rPr>
          <w:rFonts w:hint="default" w:ascii="方正小标宋简体" w:hAnsi="微软雅黑" w:eastAsia="方正小标宋简体" w:cs="宋体"/>
          <w:color w:val="000000"/>
          <w:kern w:val="0"/>
          <w:sz w:val="40"/>
          <w:szCs w:val="40"/>
          <w:lang w:val="en-US" w:eastAsia="zh-CN"/>
        </w:rPr>
      </w:pPr>
      <w:r>
        <w:rPr>
          <w:rFonts w:hint="eastAsia" w:ascii="方正小标宋简体" w:hAnsi="微软雅黑" w:eastAsia="方正小标宋简体" w:cs="宋体"/>
          <w:color w:val="000000"/>
          <w:kern w:val="0"/>
          <w:sz w:val="40"/>
          <w:szCs w:val="40"/>
          <w:lang w:val="en-US" w:eastAsia="zh-CN"/>
        </w:rPr>
        <w:t>本科学士学位外</w:t>
      </w:r>
      <w:bookmarkStart w:id="0" w:name="_GoBack"/>
      <w:bookmarkEnd w:id="0"/>
      <w:r>
        <w:rPr>
          <w:rFonts w:hint="eastAsia" w:ascii="方正小标宋简体" w:hAnsi="微软雅黑" w:eastAsia="方正小标宋简体" w:cs="宋体"/>
          <w:color w:val="000000"/>
          <w:kern w:val="0"/>
          <w:sz w:val="40"/>
          <w:szCs w:val="40"/>
          <w:lang w:val="en-US" w:eastAsia="zh-CN"/>
        </w:rPr>
        <w:t>语考试报名工作的通知</w:t>
      </w:r>
    </w:p>
    <w:p>
      <w:pPr>
        <w:pStyle w:val="7"/>
        <w:jc w:val="both"/>
        <w:rPr>
          <w:rFonts w:hint="eastAsia" w:ascii="仿宋" w:hAnsi="仿宋" w:eastAsia="仿宋" w:cs="仿宋"/>
          <w:b/>
          <w:bCs/>
          <w:sz w:val="22"/>
          <w:szCs w:val="22"/>
          <w:u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sz w:val="32"/>
          <w:szCs w:val="32"/>
          <w:u w:val="none"/>
          <w:lang w:val="en-US" w:eastAsia="zh-CN"/>
        </w:rPr>
      </w:pPr>
      <w:r>
        <w:rPr>
          <w:rFonts w:hint="eastAsia" w:ascii="仿宋" w:hAnsi="仿宋" w:eastAsia="仿宋" w:cs="仿宋"/>
          <w:sz w:val="32"/>
          <w:szCs w:val="32"/>
          <w:u w:val="none"/>
          <w:lang w:val="en-US" w:eastAsia="zh-CN"/>
        </w:rPr>
        <w:t>各学习辅导中心、班主任：</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根据《粤开大教务函〔2023〕15号+关于做好广东开放大学2023年春季本科学士学位外语考试报名工作的通知》，为做好广东开放大学广奥分校2023年春季本科学士学位外语考试，现将有关事宜通知如下：</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一、考试语种与考试方式</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考试语种：英语</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考试方式：采用PC 终端在考点进行无纸化考试</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二、报名要求</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(一)以下三类学生可申请报考</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1.广东开放大学在籍本科生(不含课程生及本学期新生);</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2.毕业一年内，除学位外语成绩外，其他学位授予条件已符合的毕业生。</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凡是处于考试违纪停考期的考生，一律不得报考。</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sz w:val="32"/>
          <w:szCs w:val="32"/>
          <w:lang w:val="en-US" w:eastAsia="zh-CN"/>
        </w:rPr>
        <w:t>(二)符合以下条件的情况学生可以免考</w:t>
      </w:r>
      <w:r>
        <w:rPr>
          <w:rFonts w:hint="eastAsia" w:ascii="仿宋" w:hAnsi="仿宋" w:eastAsia="仿宋" w:cs="仿宋"/>
          <w:b/>
          <w:bCs/>
          <w:sz w:val="32"/>
          <w:szCs w:val="32"/>
          <w:lang w:val="en-US" w:eastAsia="zh-CN"/>
        </w:rPr>
        <w:t>（需进行学分转换）</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按《广东开放大学学士学位授予工作实施细则(试行)》</w:t>
      </w:r>
      <w:r>
        <w:rPr>
          <w:rFonts w:hint="eastAsia" w:ascii="仿宋" w:hAnsi="仿宋" w:eastAsia="仿宋" w:cs="仿宋"/>
          <w:sz w:val="32"/>
          <w:szCs w:val="32"/>
          <w:lang w:val="en-US" w:eastAsia="zh-CN"/>
        </w:rPr>
        <w:t>(粤开大教务〔2020〕11 号)规定，如已参加过以下任何一种外语考试，成绩合格者，可以免考：</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(1)广东省成人高等教育学士学位外语水平统一考试；</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(2)全国公共英语等级考试三级 (PETS-3) 及以上考试；</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(3)全国大学英语四级及以上等级考试(达到425 分及以上 ) 。</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三、考点安排</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本次考试共设置以下考点：</w:t>
      </w:r>
    </w:p>
    <w:tbl>
      <w:tblPr>
        <w:tblStyle w:val="9"/>
        <w:tblW w:w="9888" w:type="dxa"/>
        <w:tblInd w:w="-6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1"/>
        <w:gridCol w:w="1605"/>
        <w:gridCol w:w="5612"/>
        <w:gridCol w:w="12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471" w:type="dxa"/>
            <w:vAlign w:val="top"/>
          </w:tcPr>
          <w:p>
            <w:pPr>
              <w:spacing w:before="232" w:line="218" w:lineRule="auto"/>
              <w:ind w:left="188"/>
              <w:rPr>
                <w:rFonts w:ascii="宋体" w:hAnsi="宋体" w:eastAsia="宋体" w:cs="宋体"/>
                <w:sz w:val="28"/>
                <w:szCs w:val="28"/>
              </w:rPr>
            </w:pPr>
            <w:r>
              <w:rPr>
                <w:rFonts w:ascii="宋体" w:hAnsi="宋体" w:eastAsia="宋体" w:cs="宋体"/>
                <w:b/>
                <w:bCs/>
                <w:spacing w:val="-1"/>
                <w:sz w:val="28"/>
                <w:szCs w:val="28"/>
              </w:rPr>
              <w:t>考点编号</w:t>
            </w:r>
          </w:p>
        </w:tc>
        <w:tc>
          <w:tcPr>
            <w:tcW w:w="1605" w:type="dxa"/>
            <w:vAlign w:val="top"/>
          </w:tcPr>
          <w:p>
            <w:pPr>
              <w:spacing w:before="232" w:line="218" w:lineRule="auto"/>
              <w:ind w:left="196"/>
              <w:rPr>
                <w:rFonts w:ascii="宋体" w:hAnsi="宋体" w:eastAsia="宋体" w:cs="宋体"/>
                <w:sz w:val="28"/>
                <w:szCs w:val="28"/>
              </w:rPr>
            </w:pPr>
            <w:r>
              <w:rPr>
                <w:rFonts w:ascii="宋体" w:hAnsi="宋体" w:eastAsia="宋体" w:cs="宋体"/>
                <w:b/>
                <w:bCs/>
                <w:spacing w:val="-5"/>
                <w:sz w:val="28"/>
                <w:szCs w:val="28"/>
              </w:rPr>
              <w:t>考点名称</w:t>
            </w:r>
          </w:p>
        </w:tc>
        <w:tc>
          <w:tcPr>
            <w:tcW w:w="5612" w:type="dxa"/>
            <w:vAlign w:val="top"/>
          </w:tcPr>
          <w:p>
            <w:pPr>
              <w:spacing w:before="232" w:line="218" w:lineRule="auto"/>
              <w:ind w:left="1477"/>
              <w:rPr>
                <w:rFonts w:ascii="宋体" w:hAnsi="宋体" w:eastAsia="宋体" w:cs="宋体"/>
                <w:sz w:val="28"/>
                <w:szCs w:val="28"/>
              </w:rPr>
            </w:pPr>
            <w:r>
              <w:rPr>
                <w:rFonts w:ascii="宋体" w:hAnsi="宋体" w:eastAsia="宋体" w:cs="宋体"/>
                <w:b/>
                <w:bCs/>
                <w:spacing w:val="8"/>
                <w:sz w:val="28"/>
                <w:szCs w:val="28"/>
              </w:rPr>
              <w:t>考点地址</w:t>
            </w:r>
          </w:p>
        </w:tc>
        <w:tc>
          <w:tcPr>
            <w:tcW w:w="1200" w:type="dxa"/>
            <w:vAlign w:val="top"/>
          </w:tcPr>
          <w:p>
            <w:pPr>
              <w:spacing w:before="242" w:line="211" w:lineRule="auto"/>
              <w:ind w:left="193"/>
              <w:rPr>
                <w:rFonts w:ascii="宋体" w:hAnsi="宋体" w:eastAsia="宋体" w:cs="宋体"/>
                <w:sz w:val="28"/>
                <w:szCs w:val="28"/>
              </w:rPr>
            </w:pPr>
            <w:r>
              <w:rPr>
                <w:rFonts w:ascii="宋体" w:hAnsi="宋体" w:eastAsia="宋体" w:cs="宋体"/>
                <w:b/>
                <w:bCs/>
                <w:spacing w:val="-6"/>
                <w:sz w:val="28"/>
                <w:szCs w:val="28"/>
              </w:rPr>
              <w:t>考位数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067" w:hRule="atLeast"/>
        </w:trPr>
        <w:tc>
          <w:tcPr>
            <w:tcW w:w="1471" w:type="dxa"/>
            <w:vAlign w:val="top"/>
          </w:tcPr>
          <w:p>
            <w:pPr>
              <w:spacing w:line="310" w:lineRule="auto"/>
              <w:rPr>
                <w:rFonts w:ascii="Arial"/>
                <w:sz w:val="21"/>
              </w:rPr>
            </w:pPr>
          </w:p>
          <w:p>
            <w:pPr>
              <w:spacing w:before="91" w:line="219" w:lineRule="auto"/>
              <w:ind w:left="184"/>
              <w:rPr>
                <w:rFonts w:ascii="宋体" w:hAnsi="宋体" w:eastAsia="宋体" w:cs="宋体"/>
                <w:sz w:val="28"/>
                <w:szCs w:val="28"/>
              </w:rPr>
            </w:pPr>
            <w:r>
              <w:rPr>
                <w:rFonts w:ascii="宋体" w:hAnsi="宋体" w:eastAsia="宋体" w:cs="宋体"/>
                <w:spacing w:val="6"/>
                <w:sz w:val="28"/>
                <w:szCs w:val="28"/>
              </w:rPr>
              <w:t>第一考点</w:t>
            </w:r>
          </w:p>
        </w:tc>
        <w:tc>
          <w:tcPr>
            <w:tcW w:w="1605" w:type="dxa"/>
            <w:vAlign w:val="top"/>
          </w:tcPr>
          <w:p>
            <w:pPr>
              <w:spacing w:line="308" w:lineRule="auto"/>
              <w:rPr>
                <w:rFonts w:ascii="Arial"/>
                <w:sz w:val="21"/>
              </w:rPr>
            </w:pPr>
          </w:p>
          <w:p>
            <w:pPr>
              <w:spacing w:before="91" w:line="219" w:lineRule="auto"/>
              <w:ind w:left="192"/>
              <w:rPr>
                <w:rFonts w:ascii="宋体" w:hAnsi="宋体" w:eastAsia="宋体" w:cs="宋体"/>
                <w:sz w:val="28"/>
                <w:szCs w:val="28"/>
              </w:rPr>
            </w:pPr>
            <w:r>
              <w:rPr>
                <w:rFonts w:ascii="宋体" w:hAnsi="宋体" w:eastAsia="宋体" w:cs="宋体"/>
                <w:spacing w:val="6"/>
                <w:sz w:val="28"/>
                <w:szCs w:val="28"/>
              </w:rPr>
              <w:t>广州考点</w:t>
            </w:r>
          </w:p>
        </w:tc>
        <w:tc>
          <w:tcPr>
            <w:tcW w:w="5612" w:type="dxa"/>
            <w:vAlign w:val="top"/>
          </w:tcPr>
          <w:p>
            <w:pPr>
              <w:spacing w:before="71" w:line="227" w:lineRule="auto"/>
              <w:ind w:left="93" w:right="104"/>
              <w:jc w:val="both"/>
              <w:rPr>
                <w:rFonts w:ascii="宋体" w:hAnsi="宋体" w:eastAsia="宋体" w:cs="宋体"/>
                <w:sz w:val="27"/>
                <w:szCs w:val="27"/>
              </w:rPr>
            </w:pPr>
            <w:r>
              <w:rPr>
                <w:rFonts w:ascii="宋体" w:hAnsi="宋体" w:eastAsia="宋体" w:cs="宋体"/>
                <w:spacing w:val="18"/>
                <w:sz w:val="27"/>
                <w:szCs w:val="27"/>
              </w:rPr>
              <w:t>广州市天河区广汕二路602号凤</w:t>
            </w:r>
            <w:r>
              <w:rPr>
                <w:rFonts w:ascii="宋体" w:hAnsi="宋体" w:eastAsia="宋体" w:cs="宋体"/>
                <w:spacing w:val="16"/>
                <w:sz w:val="27"/>
                <w:szCs w:val="27"/>
              </w:rPr>
              <w:t>凰里·</w:t>
            </w:r>
            <w:r>
              <w:rPr>
                <w:rFonts w:ascii="宋体" w:hAnsi="宋体" w:eastAsia="宋体" w:cs="宋体"/>
                <w:spacing w:val="-110"/>
                <w:sz w:val="27"/>
                <w:szCs w:val="27"/>
              </w:rPr>
              <w:t xml:space="preserve"> </w:t>
            </w:r>
            <w:r>
              <w:rPr>
                <w:rFonts w:ascii="宋体" w:hAnsi="宋体" w:eastAsia="宋体" w:cs="宋体"/>
                <w:spacing w:val="16"/>
                <w:sz w:val="27"/>
                <w:szCs w:val="27"/>
              </w:rPr>
              <w:t>U创，B栋3楼(广州启尊</w:t>
            </w:r>
            <w:r>
              <w:rPr>
                <w:rFonts w:ascii="宋体" w:hAnsi="宋体" w:eastAsia="宋体" w:cs="宋体"/>
                <w:spacing w:val="25"/>
                <w:sz w:val="27"/>
                <w:szCs w:val="27"/>
              </w:rPr>
              <w:t>考试中心)</w:t>
            </w:r>
          </w:p>
        </w:tc>
        <w:tc>
          <w:tcPr>
            <w:tcW w:w="1200" w:type="dxa"/>
            <w:vAlign w:val="top"/>
          </w:tcPr>
          <w:p>
            <w:pPr>
              <w:spacing w:line="382" w:lineRule="auto"/>
              <w:rPr>
                <w:rFonts w:ascii="Arial"/>
                <w:sz w:val="21"/>
              </w:rPr>
            </w:pPr>
          </w:p>
          <w:p>
            <w:pPr>
              <w:spacing w:before="91" w:line="183" w:lineRule="auto"/>
              <w:ind w:left="399"/>
              <w:rPr>
                <w:rFonts w:ascii="宋体" w:hAnsi="宋体" w:eastAsia="宋体" w:cs="宋体"/>
                <w:sz w:val="28"/>
                <w:szCs w:val="28"/>
              </w:rPr>
            </w:pPr>
            <w:r>
              <w:rPr>
                <w:rFonts w:ascii="宋体" w:hAnsi="宋体" w:eastAsia="宋体" w:cs="宋体"/>
                <w:spacing w:val="-4"/>
                <w:sz w:val="28"/>
                <w:szCs w:val="28"/>
              </w:rPr>
              <w:t>295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8" w:hRule="atLeast"/>
        </w:trPr>
        <w:tc>
          <w:tcPr>
            <w:tcW w:w="1471" w:type="dxa"/>
            <w:vAlign w:val="top"/>
          </w:tcPr>
          <w:p>
            <w:pPr>
              <w:spacing w:before="226" w:line="219" w:lineRule="auto"/>
              <w:ind w:left="184"/>
              <w:rPr>
                <w:rFonts w:ascii="宋体" w:hAnsi="宋体" w:eastAsia="宋体" w:cs="宋体"/>
                <w:sz w:val="28"/>
                <w:szCs w:val="28"/>
              </w:rPr>
            </w:pPr>
            <w:r>
              <w:rPr>
                <w:rFonts w:ascii="宋体" w:hAnsi="宋体" w:eastAsia="宋体" w:cs="宋体"/>
                <w:spacing w:val="6"/>
                <w:sz w:val="28"/>
                <w:szCs w:val="28"/>
              </w:rPr>
              <w:t>第二考点</w:t>
            </w:r>
          </w:p>
        </w:tc>
        <w:tc>
          <w:tcPr>
            <w:tcW w:w="1605" w:type="dxa"/>
            <w:vAlign w:val="top"/>
          </w:tcPr>
          <w:p>
            <w:pPr>
              <w:spacing w:before="226" w:line="219" w:lineRule="auto"/>
              <w:ind w:left="192"/>
              <w:rPr>
                <w:rFonts w:ascii="宋体" w:hAnsi="宋体" w:eastAsia="宋体" w:cs="宋体"/>
                <w:sz w:val="28"/>
                <w:szCs w:val="28"/>
              </w:rPr>
            </w:pPr>
            <w:r>
              <w:rPr>
                <w:rFonts w:ascii="宋体" w:hAnsi="宋体" w:eastAsia="宋体" w:cs="宋体"/>
                <w:spacing w:val="6"/>
                <w:sz w:val="28"/>
                <w:szCs w:val="28"/>
              </w:rPr>
              <w:t>中山考点</w:t>
            </w:r>
          </w:p>
        </w:tc>
        <w:tc>
          <w:tcPr>
            <w:tcW w:w="5612" w:type="dxa"/>
            <w:vAlign w:val="top"/>
          </w:tcPr>
          <w:p>
            <w:pPr>
              <w:spacing w:before="86" w:line="216" w:lineRule="auto"/>
              <w:ind w:left="93" w:right="350"/>
              <w:rPr>
                <w:rFonts w:ascii="宋体" w:hAnsi="宋体" w:eastAsia="宋体" w:cs="宋体"/>
                <w:sz w:val="27"/>
                <w:szCs w:val="27"/>
              </w:rPr>
            </w:pPr>
            <w:r>
              <w:rPr>
                <w:rFonts w:ascii="宋体" w:hAnsi="宋体" w:eastAsia="宋体" w:cs="宋体"/>
                <w:spacing w:val="12"/>
                <w:sz w:val="27"/>
                <w:szCs w:val="27"/>
              </w:rPr>
              <w:t>广东省中山市石岐区孙文中路</w:t>
            </w:r>
            <w:r>
              <w:rPr>
                <w:rFonts w:ascii="宋体" w:hAnsi="宋体" w:eastAsia="宋体" w:cs="宋体"/>
                <w:spacing w:val="4"/>
                <w:sz w:val="27"/>
                <w:szCs w:val="27"/>
              </w:rPr>
              <w:t xml:space="preserve"> </w:t>
            </w:r>
            <w:r>
              <w:rPr>
                <w:rFonts w:ascii="宋体" w:hAnsi="宋体" w:eastAsia="宋体" w:cs="宋体"/>
                <w:spacing w:val="31"/>
                <w:sz w:val="27"/>
                <w:szCs w:val="27"/>
              </w:rPr>
              <w:t>134号(中山开放大学)</w:t>
            </w:r>
          </w:p>
        </w:tc>
        <w:tc>
          <w:tcPr>
            <w:tcW w:w="1200" w:type="dxa"/>
            <w:vAlign w:val="top"/>
          </w:tcPr>
          <w:p>
            <w:pPr>
              <w:spacing w:before="297" w:line="184" w:lineRule="auto"/>
              <w:ind w:left="399"/>
              <w:rPr>
                <w:rFonts w:ascii="宋体" w:hAnsi="宋体" w:eastAsia="宋体" w:cs="宋体"/>
                <w:sz w:val="28"/>
                <w:szCs w:val="28"/>
              </w:rPr>
            </w:pPr>
            <w:r>
              <w:rPr>
                <w:rFonts w:ascii="宋体" w:hAnsi="宋体" w:eastAsia="宋体" w:cs="宋体"/>
                <w:spacing w:val="-4"/>
                <w:sz w:val="28"/>
                <w:szCs w:val="28"/>
              </w:rPr>
              <w:t>210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8" w:hRule="atLeast"/>
        </w:trPr>
        <w:tc>
          <w:tcPr>
            <w:tcW w:w="1471" w:type="dxa"/>
            <w:vAlign w:val="top"/>
          </w:tcPr>
          <w:p>
            <w:pPr>
              <w:spacing w:before="228" w:line="219" w:lineRule="auto"/>
              <w:ind w:left="184"/>
              <w:rPr>
                <w:rFonts w:ascii="宋体" w:hAnsi="宋体" w:eastAsia="宋体" w:cs="宋体"/>
                <w:sz w:val="28"/>
                <w:szCs w:val="28"/>
              </w:rPr>
            </w:pPr>
            <w:r>
              <w:rPr>
                <w:rFonts w:ascii="宋体" w:hAnsi="宋体" w:eastAsia="宋体" w:cs="宋体"/>
                <w:spacing w:val="6"/>
                <w:sz w:val="28"/>
                <w:szCs w:val="28"/>
              </w:rPr>
              <w:t>第三考点</w:t>
            </w:r>
          </w:p>
        </w:tc>
        <w:tc>
          <w:tcPr>
            <w:tcW w:w="1605" w:type="dxa"/>
            <w:vAlign w:val="top"/>
          </w:tcPr>
          <w:p>
            <w:pPr>
              <w:spacing w:before="228" w:line="219" w:lineRule="auto"/>
              <w:ind w:left="192"/>
              <w:rPr>
                <w:rFonts w:ascii="宋体" w:hAnsi="宋体" w:eastAsia="宋体" w:cs="宋体"/>
                <w:sz w:val="28"/>
                <w:szCs w:val="28"/>
              </w:rPr>
            </w:pPr>
            <w:r>
              <w:rPr>
                <w:rFonts w:ascii="宋体" w:hAnsi="宋体" w:eastAsia="宋体" w:cs="宋体"/>
                <w:spacing w:val="6"/>
                <w:sz w:val="28"/>
                <w:szCs w:val="28"/>
              </w:rPr>
              <w:t>江门考点</w:t>
            </w:r>
          </w:p>
        </w:tc>
        <w:tc>
          <w:tcPr>
            <w:tcW w:w="5612" w:type="dxa"/>
            <w:vAlign w:val="top"/>
          </w:tcPr>
          <w:p>
            <w:pPr>
              <w:spacing w:before="89" w:line="215" w:lineRule="auto"/>
              <w:ind w:left="93" w:right="70"/>
              <w:rPr>
                <w:rFonts w:ascii="宋体" w:hAnsi="宋体" w:eastAsia="宋体" w:cs="宋体"/>
                <w:sz w:val="27"/>
                <w:szCs w:val="27"/>
              </w:rPr>
            </w:pPr>
            <w:r>
              <w:rPr>
                <w:rFonts w:ascii="宋体" w:hAnsi="宋体" w:eastAsia="宋体" w:cs="宋体"/>
                <w:spacing w:val="29"/>
                <w:sz w:val="27"/>
                <w:szCs w:val="27"/>
              </w:rPr>
              <w:t>广东省江门市胜利路116号(江</w:t>
            </w:r>
            <w:r>
              <w:rPr>
                <w:rFonts w:ascii="宋体" w:hAnsi="宋体" w:eastAsia="宋体" w:cs="宋体"/>
                <w:spacing w:val="19"/>
                <w:sz w:val="27"/>
                <w:szCs w:val="27"/>
              </w:rPr>
              <w:t>门开放大学)</w:t>
            </w:r>
          </w:p>
        </w:tc>
        <w:tc>
          <w:tcPr>
            <w:tcW w:w="1200" w:type="dxa"/>
            <w:vAlign w:val="top"/>
          </w:tcPr>
          <w:p>
            <w:pPr>
              <w:spacing w:before="299" w:line="184" w:lineRule="auto"/>
              <w:ind w:left="399"/>
              <w:rPr>
                <w:rFonts w:ascii="宋体" w:hAnsi="宋体" w:eastAsia="宋体" w:cs="宋体"/>
                <w:sz w:val="28"/>
                <w:szCs w:val="28"/>
              </w:rPr>
            </w:pPr>
            <w:r>
              <w:rPr>
                <w:rFonts w:ascii="宋体" w:hAnsi="宋体" w:eastAsia="宋体" w:cs="宋体"/>
                <w:spacing w:val="-8"/>
                <w:sz w:val="28"/>
                <w:szCs w:val="28"/>
              </w:rPr>
              <w:t>185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3" w:hRule="atLeast"/>
        </w:trPr>
        <w:tc>
          <w:tcPr>
            <w:tcW w:w="1471" w:type="dxa"/>
            <w:vAlign w:val="top"/>
          </w:tcPr>
          <w:p>
            <w:pPr>
              <w:spacing w:before="230" w:line="219" w:lineRule="auto"/>
              <w:ind w:left="184"/>
              <w:rPr>
                <w:rFonts w:ascii="宋体" w:hAnsi="宋体" w:eastAsia="宋体" w:cs="宋体"/>
                <w:sz w:val="28"/>
                <w:szCs w:val="28"/>
              </w:rPr>
            </w:pPr>
            <w:r>
              <w:rPr>
                <w:rFonts w:ascii="宋体" w:hAnsi="宋体" w:eastAsia="宋体" w:cs="宋体"/>
                <w:spacing w:val="6"/>
                <w:sz w:val="28"/>
                <w:szCs w:val="28"/>
              </w:rPr>
              <w:t>第四考点</w:t>
            </w:r>
          </w:p>
        </w:tc>
        <w:tc>
          <w:tcPr>
            <w:tcW w:w="1605" w:type="dxa"/>
            <w:vAlign w:val="top"/>
          </w:tcPr>
          <w:p>
            <w:pPr>
              <w:spacing w:before="230" w:line="219" w:lineRule="auto"/>
              <w:ind w:left="192"/>
              <w:rPr>
                <w:rFonts w:ascii="宋体" w:hAnsi="宋体" w:eastAsia="宋体" w:cs="宋体"/>
                <w:sz w:val="28"/>
                <w:szCs w:val="28"/>
              </w:rPr>
            </w:pPr>
            <w:r>
              <w:rPr>
                <w:rFonts w:ascii="宋体" w:hAnsi="宋体" w:eastAsia="宋体" w:cs="宋体"/>
                <w:spacing w:val="6"/>
                <w:sz w:val="28"/>
                <w:szCs w:val="28"/>
              </w:rPr>
              <w:t>东莞考点</w:t>
            </w:r>
          </w:p>
        </w:tc>
        <w:tc>
          <w:tcPr>
            <w:tcW w:w="5612" w:type="dxa"/>
            <w:vAlign w:val="top"/>
          </w:tcPr>
          <w:p>
            <w:pPr>
              <w:spacing w:before="89" w:line="213" w:lineRule="auto"/>
              <w:ind w:left="93" w:right="370"/>
              <w:rPr>
                <w:rFonts w:ascii="宋体" w:hAnsi="宋体" w:eastAsia="宋体" w:cs="宋体"/>
                <w:sz w:val="27"/>
                <w:szCs w:val="27"/>
              </w:rPr>
            </w:pPr>
            <w:r>
              <w:rPr>
                <w:rFonts w:ascii="宋体" w:hAnsi="宋体" w:eastAsia="宋体" w:cs="宋体"/>
                <w:spacing w:val="10"/>
                <w:sz w:val="27"/>
                <w:szCs w:val="27"/>
              </w:rPr>
              <w:t>广东省东莞市莞城运河东一路</w:t>
            </w:r>
            <w:r>
              <w:rPr>
                <w:rFonts w:ascii="宋体" w:hAnsi="宋体" w:eastAsia="宋体" w:cs="宋体"/>
                <w:spacing w:val="9"/>
                <w:sz w:val="27"/>
                <w:szCs w:val="27"/>
              </w:rPr>
              <w:t xml:space="preserve"> </w:t>
            </w:r>
            <w:r>
              <w:rPr>
                <w:rFonts w:ascii="宋体" w:hAnsi="宋体" w:eastAsia="宋体" w:cs="宋体"/>
                <w:spacing w:val="31"/>
                <w:sz w:val="27"/>
                <w:szCs w:val="27"/>
              </w:rPr>
              <w:t>157号(东莞开放大学)</w:t>
            </w:r>
          </w:p>
        </w:tc>
        <w:tc>
          <w:tcPr>
            <w:tcW w:w="1200" w:type="dxa"/>
            <w:vAlign w:val="top"/>
          </w:tcPr>
          <w:p>
            <w:pPr>
              <w:spacing w:before="301" w:line="184" w:lineRule="auto"/>
              <w:ind w:left="399"/>
              <w:rPr>
                <w:rFonts w:ascii="宋体" w:hAnsi="宋体" w:eastAsia="宋体" w:cs="宋体"/>
                <w:sz w:val="28"/>
                <w:szCs w:val="28"/>
              </w:rPr>
            </w:pPr>
            <w:r>
              <w:rPr>
                <w:rFonts w:ascii="宋体" w:hAnsi="宋体" w:eastAsia="宋体" w:cs="宋体"/>
                <w:spacing w:val="-8"/>
                <w:sz w:val="28"/>
                <w:szCs w:val="28"/>
              </w:rPr>
              <w:t>150</w:t>
            </w:r>
          </w:p>
        </w:tc>
      </w:tr>
    </w:tbl>
    <w:p>
      <w:pPr>
        <w:keepNext w:val="0"/>
        <w:keepLines w:val="0"/>
        <w:pageBreakBefore w:val="0"/>
        <w:widowControl w:val="0"/>
        <w:kinsoku/>
        <w:wordWrap/>
        <w:overflowPunct/>
        <w:topLinePunct w:val="0"/>
        <w:autoSpaceDE/>
        <w:autoSpaceDN/>
        <w:bidi w:val="0"/>
        <w:adjustRightInd/>
        <w:snapToGrid/>
        <w:spacing w:line="560" w:lineRule="exact"/>
        <w:ind w:right="0" w:rightChars="0" w:firstLine="643" w:firstLineChars="200"/>
        <w:textAlignment w:val="auto"/>
        <w:outlineLvl w:val="9"/>
        <w:rPr>
          <w:rFonts w:hint="eastAsia" w:ascii="仿宋" w:hAnsi="仿宋" w:eastAsia="仿宋" w:cs="仿宋"/>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3" w:firstLineChars="200"/>
        <w:textAlignment w:val="auto"/>
        <w:outlineLvl w:val="9"/>
        <w:rPr>
          <w:rFonts w:hint="eastAsia" w:ascii="仿宋" w:hAnsi="仿宋" w:eastAsia="仿宋" w:cs="仿宋"/>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四、 考试组织</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一 )时间安排</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报名及缴费时间：5月10日9:00-5月14日15:00</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准考证打印时间：5月17日9:00-25 日15:00</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考试时间：5月27日(星期六)9:00至11:00</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(二)考试报名与缴费</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sz w:val="32"/>
          <w:szCs w:val="32"/>
          <w:lang w:val="en-US" w:eastAsia="zh-CN"/>
        </w:rPr>
        <w:t>符合本次报考资格的考生须在规定时间内用微信扫描以下二维码进行网上报名，报名流程及详细操作说明见附件。</w:t>
      </w:r>
      <w:r>
        <w:rPr>
          <w:rFonts w:hint="eastAsia" w:ascii="仿宋" w:hAnsi="仿宋" w:eastAsia="仿宋" w:cs="仿宋"/>
          <w:b/>
          <w:bCs/>
          <w:sz w:val="32"/>
          <w:szCs w:val="32"/>
          <w:lang w:val="en-US" w:eastAsia="zh-CN"/>
        </w:rPr>
        <w:t>各考点容纳人数有限，请尽快报名。</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sz w:val="32"/>
          <w:szCs w:val="32"/>
          <w:lang w:val="en-US" w:eastAsia="zh-CN"/>
        </w:rPr>
      </w:pPr>
      <w:r>
        <w:drawing>
          <wp:anchor distT="0" distB="0" distL="0" distR="0" simplePos="0" relativeHeight="251662336" behindDoc="0" locked="0" layoutInCell="1" allowOverlap="1">
            <wp:simplePos x="0" y="0"/>
            <wp:positionH relativeFrom="column">
              <wp:posOffset>824865</wp:posOffset>
            </wp:positionH>
            <wp:positionV relativeFrom="paragraph">
              <wp:posOffset>140335</wp:posOffset>
            </wp:positionV>
            <wp:extent cx="2196465" cy="2190115"/>
            <wp:effectExtent l="0" t="0" r="13335" b="4445"/>
            <wp:wrapTopAndBottom/>
            <wp:docPr id="2" name="IM 3"/>
            <wp:cNvGraphicFramePr/>
            <a:graphic xmlns:a="http://schemas.openxmlformats.org/drawingml/2006/main">
              <a:graphicData uri="http://schemas.openxmlformats.org/drawingml/2006/picture">
                <pic:pic xmlns:pic="http://schemas.openxmlformats.org/drawingml/2006/picture">
                  <pic:nvPicPr>
                    <pic:cNvPr id="2" name="IM 3"/>
                    <pic:cNvPicPr/>
                  </pic:nvPicPr>
                  <pic:blipFill>
                    <a:blip r:embed="rId4"/>
                    <a:stretch>
                      <a:fillRect/>
                    </a:stretch>
                  </pic:blipFill>
                  <pic:spPr>
                    <a:xfrm>
                      <a:off x="0" y="0"/>
                      <a:ext cx="2197056" cy="2190716"/>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根据粤价函〔2009〕186号文件的规定，成人本科学士学位  外语水平全省统考考试费为120元，考试费在网上报名时缴纳。</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完成缴费才算报名成功，考试费缴纳后不予退还。</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(三)准考证打印、参加考试</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考生在规定时间内前自行登陆报名网站打印准考证。</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考生凭居民身份证和准考证按时到报考考点参加考试。</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(四)成绩查询</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6月1日后登陆广开教务系统的学生空间（网址https://ehall.ougd.cn/）可查询考试成绩，成绩将同步到教务管理系统当期考试成绩中。</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五、考风考纪</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按照上级要求，请各单位(部门)考前加强对考生的道德诚信教育和考风考纪教育。学位外语考试严格执行《国家教育考试 违规处理办法》 (教育部令第33号)、《广东开放大学课程考核考生违规处理办法(试行)》等文件，如有违纪，届时将违纪情况通告考生所在单位。</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六、 注意事项</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请</w:t>
      </w:r>
      <w:r>
        <w:rPr>
          <w:rFonts w:hint="default" w:ascii="仿宋_GB2312" w:hAnsi="微软雅黑" w:eastAsia="仿宋_GB2312" w:cs="宋体"/>
          <w:color w:val="000000"/>
          <w:kern w:val="0"/>
          <w:sz w:val="32"/>
          <w:szCs w:val="32"/>
          <w:lang w:val="en-US" w:eastAsia="zh-CN"/>
        </w:rPr>
        <w:t>各</w:t>
      </w:r>
      <w:r>
        <w:rPr>
          <w:rFonts w:hint="eastAsia" w:ascii="仿宋_GB2312" w:hAnsi="微软雅黑" w:eastAsia="仿宋_GB2312" w:cs="宋体"/>
          <w:color w:val="000000"/>
          <w:kern w:val="0"/>
          <w:sz w:val="32"/>
          <w:szCs w:val="32"/>
          <w:lang w:val="en-US" w:eastAsia="zh-CN"/>
        </w:rPr>
        <w:t>学习中心、班主任</w:t>
      </w:r>
      <w:r>
        <w:rPr>
          <w:rFonts w:hint="eastAsia" w:ascii="仿宋" w:hAnsi="仿宋" w:eastAsia="仿宋" w:cs="仿宋"/>
          <w:sz w:val="32"/>
          <w:szCs w:val="32"/>
          <w:lang w:val="en-US" w:eastAsia="zh-CN"/>
        </w:rPr>
        <w:t>做好所辖学生的报考工作，及时将报名时间、方式和要求通知到有关考生，确保报名考试各项工作安全顺利进行。</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附件：广东开放大学2023年春季本科学士学位外语考试考生报名操作说明</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righ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广东开放大学广奥分校</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righ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2023年5月</w:t>
      </w:r>
      <w:r>
        <w:rPr>
          <w:rFonts w:hint="default" w:ascii="仿宋_GB2312" w:hAnsi="Times New Roman" w:eastAsia="仿宋_GB2312" w:cs="Times New Roman"/>
          <w:sz w:val="32"/>
          <w:szCs w:val="32"/>
          <w:lang w:val="en-US" w:eastAsia="zh-CN"/>
        </w:rPr>
        <mc:AlternateContent>
          <mc:Choice Requires="wps">
            <w:drawing>
              <wp:anchor distT="0" distB="0" distL="114300" distR="114300" simplePos="0" relativeHeight="251660288" behindDoc="0" locked="0" layoutInCell="1" allowOverlap="1">
                <wp:simplePos x="0" y="0"/>
                <wp:positionH relativeFrom="column">
                  <wp:posOffset>-364490</wp:posOffset>
                </wp:positionH>
                <wp:positionV relativeFrom="paragraph">
                  <wp:posOffset>5445125</wp:posOffset>
                </wp:positionV>
                <wp:extent cx="6120130" cy="635"/>
                <wp:effectExtent l="0" t="28575" r="6350" b="31750"/>
                <wp:wrapNone/>
                <wp:docPr id="3" name="任意多边形 3"/>
                <wp:cNvGraphicFramePr/>
                <a:graphic xmlns:a="http://schemas.openxmlformats.org/drawingml/2006/main">
                  <a:graphicData uri="http://schemas.microsoft.com/office/word/2010/wordprocessingShape">
                    <wps:wsp>
                      <wps:cNvSpPr/>
                      <wps:spPr bwMode="auto">
                        <a:xfrm>
                          <a:off x="0" y="0"/>
                          <a:ext cx="6120130" cy="635"/>
                        </a:xfrm>
                        <a:custGeom>
                          <a:avLst/>
                          <a:gdLst>
                            <a:gd name="T0" fmla="*/ 0 w 9675"/>
                            <a:gd name="T1" fmla="*/ 1 h 30"/>
                            <a:gd name="T2" fmla="*/ 9638 w 9675"/>
                            <a:gd name="T3" fmla="*/ 0 h 30"/>
                            <a:gd name="T4" fmla="*/ 0 60000 65536"/>
                            <a:gd name="T5" fmla="*/ 0 60000 65536"/>
                          </a:gdLst>
                          <a:ahLst/>
                          <a:cxnLst>
                            <a:cxn ang="T4">
                              <a:pos x="T0" y="T1"/>
                            </a:cxn>
                            <a:cxn ang="T5">
                              <a:pos x="T2" y="T3"/>
                            </a:cxn>
                          </a:cxnLst>
                          <a:rect l="0" t="0" r="r" b="b"/>
                          <a:pathLst>
                            <a:path w="9675" h="30">
                              <a:moveTo>
                                <a:pt x="0" y="30"/>
                              </a:moveTo>
                              <a:lnTo>
                                <a:pt x="9675" y="0"/>
                              </a:lnTo>
                            </a:path>
                          </a:pathLst>
                        </a:custGeom>
                        <a:noFill/>
                        <a:ln w="57150" cmpd="thickThin">
                          <a:solidFill>
                            <a:srgbClr val="FF0000"/>
                          </a:solidFill>
                          <a:round/>
                        </a:ln>
                        <a:effectLst/>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28.7pt;margin-top:428.75pt;height:0.05pt;width:481.9pt;z-index:251660288;mso-width-relative:page;mso-height-relative:page;" filled="f" stroked="t" coordsize="9675,30" o:gfxdata="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" path="m0,30l9675,0e">
                <v:path o:connectlocs="0,21;6096724,0" o:connectangles="0,0"/>
                <v:fill on="f" focussize="0,0"/>
                <v:stroke weight="4.5pt" color="#FF0000" linestyle="thickThin" joinstyle="round"/>
                <v:imagedata o:title=""/>
                <o:lock v:ext="edit" aspectratio="f"/>
              </v:shape>
            </w:pict>
          </mc:Fallback>
        </mc:AlternateContent>
      </w:r>
      <w:r>
        <w:rPr>
          <w:rFonts w:hint="eastAsia" w:ascii="仿宋_GB2312" w:hAnsi="Times New Roman" w:eastAsia="仿宋_GB2312" w:cs="Times New Roman"/>
          <w:sz w:val="32"/>
          <w:szCs w:val="32"/>
          <w:lang w:val="en-US" w:eastAsia="zh-CN"/>
        </w:rPr>
        <w:t>9</w:t>
      </w:r>
      <w:r>
        <w:rPr>
          <w:rFonts w:hint="eastAsia" w:ascii="仿宋" w:hAnsi="仿宋" w:eastAsia="仿宋" w:cs="仿宋"/>
          <w:sz w:val="32"/>
          <w:szCs w:val="32"/>
          <w:lang w:val="en-US" w:eastAsia="zh-CN"/>
        </w:rPr>
        <w:t>日</w:t>
      </w:r>
    </w:p>
    <w:p>
      <w:pPr>
        <w:rPr>
          <w:rFonts w:hint="eastAsia"/>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方正小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3N2JhZjk2NGIxZjQwMDczYzhkOTdiOGM0ZGZjMjYifQ=="/>
  </w:docVars>
  <w:rsids>
    <w:rsidRoot w:val="00000000"/>
    <w:rsid w:val="02FA1C8A"/>
    <w:rsid w:val="05726DA2"/>
    <w:rsid w:val="06E23AB3"/>
    <w:rsid w:val="08002443"/>
    <w:rsid w:val="0DF50FF8"/>
    <w:rsid w:val="150A4901"/>
    <w:rsid w:val="189A5F9C"/>
    <w:rsid w:val="19DF187E"/>
    <w:rsid w:val="1BFE4A94"/>
    <w:rsid w:val="1FBC7140"/>
    <w:rsid w:val="20B40431"/>
    <w:rsid w:val="2B77216D"/>
    <w:rsid w:val="2D4C117B"/>
    <w:rsid w:val="388365F5"/>
    <w:rsid w:val="3B146F31"/>
    <w:rsid w:val="3BD34118"/>
    <w:rsid w:val="41235477"/>
    <w:rsid w:val="42DC761B"/>
    <w:rsid w:val="46E22739"/>
    <w:rsid w:val="4CCC0113"/>
    <w:rsid w:val="52A35472"/>
    <w:rsid w:val="580804BF"/>
    <w:rsid w:val="5ECA3D86"/>
    <w:rsid w:val="5F435A75"/>
    <w:rsid w:val="68475781"/>
    <w:rsid w:val="69B63885"/>
    <w:rsid w:val="6A072332"/>
    <w:rsid w:val="6DAF0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Default"/>
    <w:qFormat/>
    <w:uiPriority w:val="0"/>
    <w:pPr>
      <w:widowControl w:val="0"/>
      <w:autoSpaceDE w:val="0"/>
      <w:autoSpaceDN w:val="0"/>
      <w:adjustRightInd w:val="0"/>
    </w:pPr>
    <w:rPr>
      <w:rFonts w:ascii="仿宋_GB2312" w:eastAsia="仿宋_GB2312" w:cs="仿宋_GB2312" w:hAnsiTheme="minorHAnsi"/>
      <w:color w:val="000000"/>
      <w:kern w:val="0"/>
      <w:sz w:val="24"/>
      <w:szCs w:val="24"/>
      <w:lang w:val="en-US" w:eastAsia="zh-CN" w:bidi="ar-SA"/>
    </w:rPr>
  </w:style>
  <w:style w:type="character" w:customStyle="1" w:styleId="8">
    <w:name w:val="fontstyle01"/>
    <w:qFormat/>
    <w:uiPriority w:val="0"/>
    <w:rPr>
      <w:rFonts w:hint="eastAsia" w:ascii="仿宋_GB2312" w:eastAsia="仿宋_GB2312"/>
      <w:color w:val="000000"/>
      <w:sz w:val="32"/>
      <w:szCs w:val="32"/>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1174</Words>
  <Characters>1274</Characters>
  <Lines>0</Lines>
  <Paragraphs>0</Paragraphs>
  <TotalTime>9</TotalTime>
  <ScaleCrop>false</ScaleCrop>
  <LinksUpToDate>false</LinksUpToDate>
  <CharactersWithSpaces>1385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86150</dc:creator>
  <cp:lastModifiedBy>陈花花</cp:lastModifiedBy>
  <dcterms:modified xsi:type="dcterms:W3CDTF">2023-05-09T05:50:39Z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DA10E97B301E4003AD50FD209830220E</vt:lpwstr>
  </property>
</Properties>
</file>